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360" w:after="360" w:line="576" w:lineRule="atLeast"/>
        <w:rPr>
          <w:rFonts w:eastAsia="Times New Roman" w:cstheme="minorHAnsi"/>
          <w:color w:val="594646"/>
          <w:sz w:val="48"/>
          <w:szCs w:val="48"/>
          <w:lang w:eastAsia="ru-RU"/>
        </w:rPr>
        <w:outlineLvl w:val="0"/>
      </w:pPr>
      <w:r>
        <w:rPr>
          <w:rFonts w:eastAsia="Times New Roman" w:cstheme="minorHAnsi"/>
          <w:color w:val="594646"/>
          <w:sz w:val="48"/>
          <w:szCs w:val="48"/>
          <w:lang w:eastAsia="ru-RU"/>
        </w:rPr>
        <w:t xml:space="preserve">Пользовательское соглашение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36"/>
          <w:szCs w:val="36"/>
          <w:lang w:eastAsia="ru-RU"/>
        </w:rPr>
        <w:outlineLvl w:val="2"/>
      </w:pPr>
      <w:r>
        <w:rPr>
          <w:rFonts w:eastAsia="Times New Roman" w:cstheme="minorHAnsi"/>
          <w:color w:val="594646"/>
          <w:sz w:val="36"/>
          <w:szCs w:val="36"/>
          <w:lang w:eastAsia="ru-RU"/>
        </w:rPr>
        <w:t xml:space="preserve">1. Термины, основные понятия и определения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1.1 Основные термины публичной оферты:</w:t>
      </w:r>
      <w:r/>
    </w:p>
    <w:p>
      <w:pPr>
        <w:spacing w:after="0"/>
        <w:widowControl w:val="off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1.1.1 </w:t>
      </w:r>
      <w:r>
        <w:rPr>
          <w:rFonts w:eastAsia="Times New Roman" w:cstheme="minorHAnsi"/>
          <w:b/>
          <w:bCs/>
          <w:color w:val="594646"/>
          <w:sz w:val="24"/>
          <w:szCs w:val="24"/>
          <w:lang w:eastAsia="ru-RU"/>
        </w:rPr>
        <w:t xml:space="preserve">Продавец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 – </w:t>
      </w:r>
      <w:r>
        <w:rPr>
          <w:rFonts w:cstheme="minorHAnsi"/>
          <w:b/>
          <w:color w:val="000000"/>
          <w:spacing w:val="-4"/>
          <w:sz w:val="24"/>
          <w:szCs w:val="24"/>
          <w:shd w:val="clear" w:color="auto" w:fill="ffffff"/>
        </w:rPr>
        <w:t xml:space="preserve">ООО "Д</w:t>
      </w:r>
      <w:r>
        <w:rPr>
          <w:rFonts w:cstheme="minorHAnsi"/>
          <w:b/>
          <w:color w:val="000000"/>
          <w:spacing w:val="-4"/>
          <w:sz w:val="24"/>
          <w:szCs w:val="24"/>
          <w:shd w:val="clear" w:color="auto" w:fill="ffffff"/>
        </w:rPr>
        <w:t xml:space="preserve">емидов</w:t>
      </w:r>
      <w:r>
        <w:rPr>
          <w:rFonts w:cstheme="minorHAnsi"/>
          <w:b/>
          <w:color w:val="000000"/>
          <w:spacing w:val="-4"/>
          <w:sz w:val="24"/>
          <w:szCs w:val="24"/>
          <w:shd w:val="clear" w:color="auto" w:fill="ffffff"/>
        </w:rPr>
        <w:t xml:space="preserve"> Л</w:t>
      </w:r>
      <w:r>
        <w:rPr>
          <w:rFonts w:cstheme="minorHAnsi"/>
          <w:b/>
          <w:color w:val="000000"/>
          <w:spacing w:val="-4"/>
          <w:sz w:val="24"/>
          <w:szCs w:val="24"/>
          <w:shd w:val="clear" w:color="auto" w:fill="ffffff"/>
        </w:rPr>
        <w:t xml:space="preserve">юкс</w:t>
      </w:r>
      <w:r>
        <w:rPr>
          <w:rFonts w:cstheme="minorHAnsi"/>
          <w:b/>
          <w:color w:val="000000"/>
          <w:spacing w:val="-4"/>
          <w:sz w:val="24"/>
          <w:szCs w:val="24"/>
          <w:shd w:val="clear" w:color="auto" w:fill="ffffff"/>
        </w:rPr>
        <w:t xml:space="preserve"> СПА"</w:t>
      </w:r>
      <w:r>
        <w:rPr>
          <w:rFonts w:cstheme="minorHAnsi"/>
          <w:b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Адрес регистрации: </w:t>
      </w:r>
      <w:r>
        <w:rPr>
          <w:rFonts w:cstheme="minorHAnsi"/>
          <w:sz w:val="24"/>
          <w:szCs w:val="24"/>
        </w:rPr>
        <w:t xml:space="preserve">108819, Москва г, Московский п, Института Полиомиелита п, д. 6, оф. 117</w:t>
      </w:r>
      <w:r/>
    </w:p>
    <w:p>
      <w:pPr>
        <w:spacing w:after="0"/>
        <w:widowControl w:val="off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ИНН 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7751525117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, ОГРНИП </w:t>
      </w:r>
      <w:r>
        <w:rPr>
          <w:rFonts w:cstheme="minorHAnsi"/>
          <w:sz w:val="24"/>
          <w:szCs w:val="24"/>
        </w:rPr>
        <w:t xml:space="preserve">5147746230297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1.1.2 </w:t>
      </w:r>
      <w:r>
        <w:rPr>
          <w:rFonts w:eastAsia="Times New Roman" w:cstheme="minorHAnsi"/>
          <w:b/>
          <w:bCs/>
          <w:color w:val="594646"/>
          <w:sz w:val="24"/>
          <w:szCs w:val="24"/>
          <w:lang w:eastAsia="ru-RU"/>
        </w:rPr>
        <w:t xml:space="preserve">Покупатель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 – любое физическое или юридическое лицо, которое полностью принимает условия публичной оферты и действует на основании их.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1.1.3 </w:t>
      </w:r>
      <w:r>
        <w:rPr>
          <w:rFonts w:eastAsia="Times New Roman" w:cstheme="minorHAnsi"/>
          <w:b/>
          <w:bCs/>
          <w:color w:val="594646"/>
          <w:sz w:val="24"/>
          <w:szCs w:val="24"/>
          <w:lang w:eastAsia="ru-RU"/>
        </w:rPr>
        <w:t xml:space="preserve">Товар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 – объект настоящей публичной оферты, являющийся соглашением между Продавцом и Покупателем. Товаром считается абсолютно весь ассортимент, который представлен в официальном Магазине Продавца.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1.1.4 </w:t>
      </w:r>
      <w:r>
        <w:rPr>
          <w:rFonts w:eastAsia="Times New Roman" w:cstheme="minorHAnsi"/>
          <w:b/>
          <w:bCs/>
          <w:color w:val="594646"/>
          <w:sz w:val="24"/>
          <w:szCs w:val="24"/>
          <w:lang w:eastAsia="ru-RU"/>
        </w:rPr>
        <w:t xml:space="preserve">Интернет-магазин </w:t>
      </w:r>
      <w:r>
        <w:rPr>
          <w:rFonts w:eastAsia="Times New Roman" w:cstheme="minorHAnsi"/>
          <w:b/>
          <w:bCs/>
          <w:color w:val="594646"/>
          <w:sz w:val="24"/>
          <w:szCs w:val="24"/>
          <w:lang w:val="en-US" w:eastAsia="ru-RU"/>
        </w:rPr>
        <w:t xml:space="preserve">NEON</w:t>
      </w:r>
      <w:r>
        <w:rPr>
          <w:rFonts w:eastAsia="Times New Roman" w:cstheme="minorHAnsi"/>
          <w:b/>
          <w:bCs/>
          <w:color w:val="59464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color w:val="594646"/>
          <w:sz w:val="24"/>
          <w:szCs w:val="24"/>
          <w:lang w:val="en-US" w:eastAsia="ru-RU"/>
        </w:rPr>
        <w:t xml:space="preserve">BEARD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 – официальный онлайн-магазин Продавца, располагающийся по адресу </w:t>
      </w:r>
      <w:hyperlink r:id="rId9" w:tooltip="https://neon-beard.ru/" w:history="1">
        <w:r>
          <w:rPr>
            <w:rStyle w:val="612"/>
            <w:rFonts w:eastAsia="Times New Roman" w:cstheme="minorHAnsi"/>
            <w:sz w:val="24"/>
            <w:szCs w:val="24"/>
            <w:lang w:eastAsia="ru-RU"/>
          </w:rPr>
          <w:t xml:space="preserve">https://neon-beard.ru/</w:t>
        </w:r>
      </w:hyperlink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. Понятия Магазин, Интернет-магазин, </w:t>
      </w:r>
      <w:hyperlink r:id="rId10" w:tooltip="https://neon-beard.ru/" w:history="1">
        <w:r>
          <w:rPr>
            <w:rStyle w:val="612"/>
            <w:rFonts w:eastAsia="Times New Roman" w:cstheme="minorHAnsi"/>
            <w:sz w:val="24"/>
            <w:szCs w:val="24"/>
            <w:lang w:eastAsia="ru-RU"/>
          </w:rPr>
          <w:t xml:space="preserve">https://neon-beard.ru/</w:t>
        </w:r>
      </w:hyperlink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 имеют равнозначную силу в рамках данной публичной оферты.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36"/>
          <w:szCs w:val="36"/>
          <w:lang w:eastAsia="ru-RU"/>
        </w:rPr>
        <w:outlineLvl w:val="2"/>
      </w:pPr>
      <w:r>
        <w:rPr>
          <w:rFonts w:eastAsia="Times New Roman" w:cstheme="minorHAnsi"/>
          <w:color w:val="594646"/>
          <w:sz w:val="36"/>
          <w:szCs w:val="36"/>
          <w:lang w:eastAsia="ru-RU"/>
        </w:rPr>
        <w:t xml:space="preserve">2. Общие положения публичной оферты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2.1 Публичная оферта (далее - Договор) имеет силу официального предложения Продавца по отношению к любому юридическому или физическому лицу, являющемуся розничным покупателем Магазина, дееспособным и совершеннолетним гражданином.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2.2. Правила продажи в официальном интернет-магазине NEON BEARD регламентируются условиями настоящего соглашения.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2.3 Реализация товара в интернет-магазине осуществляется в соответствии с положениями закона «О защите прав потребителей». Все споры между сторонами решаются на основе настоящего Договора, в соответствии с законодательными актами Российской Федерации.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36"/>
          <w:szCs w:val="36"/>
          <w:lang w:eastAsia="ru-RU"/>
        </w:rPr>
        <w:outlineLvl w:val="2"/>
      </w:pPr>
      <w:r>
        <w:rPr>
          <w:rFonts w:eastAsia="Times New Roman" w:cstheme="minorHAnsi"/>
          <w:color w:val="594646"/>
          <w:sz w:val="36"/>
          <w:szCs w:val="36"/>
          <w:lang w:eastAsia="ru-RU"/>
        </w:rPr>
        <w:t xml:space="preserve">3. Регистрация в интернет-магазине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3.1. Согласно правилам настоящей публичной оферты,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все покупки могут совершаться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как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зарегистрированными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,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так и не зарегистрированными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пользователями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– Покупателями Магазина.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3.2. Ответственность за предоставление неправильной, неточной, заведомо ложной информации несёт Покупатель. При регистрации на сайте Магазина Покупателю следует точно и правильно указ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ывать личные данные. В случае выявления Продавцом неправомерных, злонамеренных и/или мошеннических действий со стороны Покупателя, противоречащих условиям Пользовательского соглашения, Продавец вправе запрашивать дополнительную информацию, а именно: фото,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сканкопию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паспорта и/или иные документы, подтверждающие личность Покупателя.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3.3. После прохождения несложного процесса регистрации на сайте Магазина Покупатель получает конфиденциальную информацию – логин и пароль от созданного аккаунта.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3.4. Передавать данные, полученные от Интернет-магазина, а и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менно логин и пароль, запрещено третьим лицам. Эти меры позволяют избежать несанкционированного доступа к аккаунту конкретного Покупателя со стороны третьих лиц, которые потенциально могут внести изменения в профиль, совершить иные противоправные действия.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3.5. За действия третьих лиц в личном аккаунте при передачи конфиденциальной информации несет Покупатель, передавший данные для входа в Личный Кабинет на сайте Продавца.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3.6. Регистрация на сайте дает право Покупателям пользоваться специальными предложениями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Магазина, регулярно выпускаемыми Продавцом. Чтобы принять участие в конкретной акции или приобрести Товар со скидкой, необходимо совершать покупки на сайте через Личный Кабинет. Стоит помнить, что скидка постоянного Покупателя привязана к Личному кабинету.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3.7. Один пользователь имеет право на регистрацию только одного Личного кабинета в рамках настоящего Договора. Массовая регистрация нескольких Личных кабинетов, оформленных на ФИО одного П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окупателя, считается нарушением условий настоящего Пользовательского соглашения. При создании нового Личного кабинета данные из старого не будут переноситься, стоимость всех совершенных покупок не суммируется, статистика заказов в данном случае обнуляется.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3.8. Личные кабинеты предназначаются исключительно для некоммерческого использования и представляют отдельных людей. В случае выявления администрацией сайта Магазина подозрительной активности, действий незаконного использования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информационных технологий, направленных на создание массовой регистрации почтовых ящиков для вступления в Партнёрскую пр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ограмму или другие программы и акции интернет-магазина с целью дальнейшего получения бонусных баллов для последующих покупок в Интернет-магазине и получения выгоды от покупок за счёт списания баллов в счёт оплаты товаров или получения других выгод, Продаве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ц вправе отказать Покупателю в предоставлении скидки на количество бонусных баллов, полученных мошенническим путем и заблокировать оформление и отгрузку заказа товаров и оплату бонусными баллами. Заказ в системе обнуляется, бонусные баллы не засчитываются.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3.9. Возв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рат денежных средств осуществляется с письменного заявления Покупателя в течение 30 дней с момента получения Продавцом подписанного заявления. При оплате банковской платежной картой возврат осуществляется именно на ту карту, с которой производилась оплата.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3.10. Баллы и скидки по разным акциям не суммируются. Бонусными баллами может быть оплачено не более 25% от суммы покупки, остальная сумма должна быть оплачена Покупателем денежными средствами. Доставка баллами не оплачивается.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36"/>
          <w:szCs w:val="36"/>
          <w:lang w:eastAsia="ru-RU"/>
        </w:rPr>
        <w:outlineLvl w:val="2"/>
      </w:pPr>
      <w:r>
        <w:rPr>
          <w:rFonts w:eastAsia="Times New Roman" w:cstheme="minorHAnsi"/>
          <w:color w:val="594646"/>
          <w:sz w:val="36"/>
          <w:szCs w:val="36"/>
          <w:lang w:eastAsia="ru-RU"/>
        </w:rPr>
        <w:t xml:space="preserve">4. Заключение Договора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4.1. В соответствии с условиями ГК Российской Федерации (ст. 437 и ст. 435) текст настоящего соглашения является Публичной офертой, с которой должен ознакомиться каждый новый Покупатель из числа посетителей сайта.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4.2. При оформлении заказа на сайте Интернет-магазина каждый раз Покупатель соглашается с условиями публичной оферты. 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4.3. При оформлении заказов в Интернет-магазине, в процессе сотрудничества Покупателя с Продавцом, должны п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олностью и безоговорочно соблюдаться условия настоящего Договора. Любые отхождения от обозначенных здесь условий расцениваются как нарушения. В момент, когда Покупатель соглашается с условиями Договора публичной оферты, он вступает в отношения с Продавцом.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36"/>
          <w:szCs w:val="36"/>
          <w:lang w:eastAsia="ru-RU"/>
        </w:rPr>
        <w:outlineLvl w:val="2"/>
      </w:pPr>
      <w:r>
        <w:rPr>
          <w:rFonts w:eastAsia="Times New Roman" w:cstheme="minorHAnsi"/>
          <w:color w:val="594646"/>
          <w:sz w:val="36"/>
          <w:szCs w:val="36"/>
          <w:lang w:eastAsia="ru-RU"/>
        </w:rPr>
        <w:t xml:space="preserve">5. Цена товара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5.1. Все действия, совершаемые между Покупателем и Продавцом, регламентируются условиями настоящего Договора. На основании условий Публичной оферты Продавец передает, а покупатель принимает Товары, оплатив их.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5.2. После полной оплаты Товары переход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ят к Покупателю, который наделяется правом собственности. За повреждения, полученные после передачи Товаров Покупателю, Продавец ответственности не несет, все риски, связанные с порчей Товара, Покупатель берет на себя с момента передачи прав собственности.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5.3. Цена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Товара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не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включает в себя НДС,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указывается в валюте РФ – рублях. Продавец сам определяет стоимость каждого Товара, решает применить к нему специальные предложения. Изменяются цены в одностороннем порядке, все изменения отображаются в интернет-магазине </w:t>
      </w:r>
      <w:hyperlink r:id="rId11" w:tooltip="https://neon-beard.ru/" w:history="1">
        <w:r>
          <w:rPr>
            <w:rStyle w:val="612"/>
            <w:rFonts w:eastAsia="Times New Roman" w:cstheme="minorHAnsi"/>
            <w:sz w:val="24"/>
            <w:szCs w:val="24"/>
            <w:lang w:eastAsia="ru-RU"/>
          </w:rPr>
          <w:t xml:space="preserve">https://neon-beard.ru/</w:t>
        </w:r>
      </w:hyperlink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36"/>
          <w:szCs w:val="36"/>
          <w:lang w:eastAsia="ru-RU"/>
        </w:rPr>
        <w:outlineLvl w:val="2"/>
      </w:pPr>
      <w:r>
        <w:rPr>
          <w:rFonts w:eastAsia="Times New Roman" w:cstheme="minorHAnsi"/>
          <w:color w:val="594646"/>
          <w:sz w:val="36"/>
          <w:szCs w:val="36"/>
          <w:lang w:eastAsia="ru-RU"/>
        </w:rPr>
        <w:t xml:space="preserve">6. Оплата и доставка товара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6.1. Оплата на сайте производится через сервисы онлайн-платежей и по безналичному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расчету банковскими картами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Visa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Master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Card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и МИР. Мы гарантируем 100%-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ную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безопасность платежей и максимальное удобство оплаты. Процедура оплаты занимает не более двух минут.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6.2.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Покупатель имеет право использовать накопленные баллы и оплатить ими до 25% от суммы заказа, при этом доставку покупатель оплачивает самостоятельно. Так же покупатель имеет право воспользоваться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промокодом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и сократить сумму своей покупки, в этом случае доставка так же оплачивается самостоятельно.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6.3. Доставка осуществляется в сроки, которые стороны оговаривают в момент оформления каждого заказа. Сроки доставки Товаров напрямую зависят от работы транспортных компаний.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6.4. Доставка Товара в регионы РФ осуществляется в течение срока, согласованного сторонами и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согласно сроков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работы транспортных компаний.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6.5. В момент передачи заказа курьером, Покупатель должен проверить комплектность Товара и его качество и поставить подпись о получении товара. Своей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подписью в сопроводительных документах Покупатель подтверждает то, что не имеет претензий к качеству Товаров и комплектации заказа в целом. После перехода прав собственности к Покупателю Продавец не рассматривает претензии, касающиеся комплектности заказа.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36"/>
          <w:szCs w:val="36"/>
          <w:lang w:eastAsia="ru-RU"/>
        </w:rPr>
        <w:outlineLvl w:val="2"/>
      </w:pPr>
      <w:r>
        <w:rPr>
          <w:rFonts w:eastAsia="Times New Roman" w:cstheme="minorHAnsi"/>
          <w:color w:val="594646"/>
          <w:sz w:val="36"/>
          <w:szCs w:val="36"/>
          <w:lang w:eastAsia="ru-RU"/>
        </w:rPr>
        <w:t xml:space="preserve">7. Права и обязанности сторон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7.1. Продавец имеет право: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7.1.1. Изменять пункты настоящего Договора, Цены на Товары в одностороннем порядке. По решению Продавца также могут изменяться сроки доставки, оформления заказа. Продавец выбирает почтовые службы по собственному желанию.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7.1.2. Все изменение отображаются на официальном сайте Магазина, каждый Покупатель может ознакомиться с ними.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7.1.3. В одностороннем порядке Продавец принимает решение о передаче прав на исполнение Договора третьим лицам. В данном случае не требуется оповещение Покупателя.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7.1.4. Вести запись всех телефонных разговоров между менеджером магазина и Покупателем. Данные не передаются третьим лицам, которые не имеют непосредственного отношения к работе Магазина, не допущены к исполнению и приему заказов.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7.1.5. Продавец оставляет за собой право отказать в офор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млении заказа, если условия оплаты нарушены со стороны Покупателя. Доставка Товара не осуществляется до того момента, пока Покупатель не оплатит полную либо частичную стоимость всех заказанных изделий, в соответствии с условиями настоящего Договора оферты.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7.1.6. Установить ограничения на доставку, заказ либо резервирование Товаров в случаях несоблюдения Покупателем условий настоящего Договора в предыдущих периодах.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7.1.7. Использовать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Cookies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в целях усовершенствования работы официального сайта Интернет-магазина, улучшения сервиса. При этом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Cookies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технологии не могут передаваться третьим лицам, во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избежания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неправомерных действий.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7.1.8. Оповещать Покупателей о проведении акций, информировать о появлении новых Товаров и услуг в Магазине, рассылать сообщения информационного характера на номера сотовых телефонов (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sms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-рассылки) и электронных адресов (e-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mail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рассылки), предоставленных Покупателем. Личные данные не могут передаваться третьим лицам и не могут быть использованы против Покупателя.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7.1.9. Получать данные об IP-адреса Покупателей официального Интернет-магазина Продавца. Сведения об IP не могут передаваться третьим лицам, использоваться в целях получения информации о Покупателе.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7.2. Продавец обязуется: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7.2.1. Выполнять все обязательства, обозначенные в данном Пользовательском соглашении. Предоставлять Покупателю Товары надлежащего качества в оговоренные сроки. Осуществлять доставку Товаров выбранными Покупателем способами доставки -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службой СДЭК, </w:t>
      </w:r>
      <w:r>
        <w:rPr>
          <w:rFonts w:eastAsia="Times New Roman" w:cstheme="minorHAnsi"/>
          <w:color w:val="594646"/>
          <w:sz w:val="24"/>
          <w:szCs w:val="24"/>
          <w:lang w:val="en-US" w:eastAsia="ru-RU"/>
        </w:rPr>
        <w:t xml:space="preserve">Boxberry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7.2.2. Решать возникающие с Покупателем споры, опираясь на условия настоящего Договора.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7.2.3. Продавец решает оставлять за собой право не выполнять обязательства перед Покупателем, но только в случае возникновения непредвиденных обстоятельств (непреодолимой силы).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7.2.4. Действовать согласно законодательству РФ, не передавать личные данные Покупателя, сохраняя конфиденциальность информации, переданной Магазину при оформлении заказа и в процессе регистрации на официальном сайте Интернет-магазина.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594646"/>
          <w:sz w:val="28"/>
          <w:szCs w:val="28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7.2.5. Рассмотреть претензию Покупателя, направленную почтой или по электронной почте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</w:t>
      </w:r>
      <w:hyperlink r:id="rId12" w:tooltip="mailto:info@neon-beard.ru" w:history="1">
        <w:r>
          <w:rPr>
            <w:rStyle w:val="612"/>
            <w:rFonts w:eastAsia="Times New Roman" w:cstheme="minorHAnsi"/>
            <w:sz w:val="24"/>
            <w:szCs w:val="24"/>
            <w:lang w:val="en-US" w:eastAsia="ru-RU"/>
          </w:rPr>
          <w:t xml:space="preserve">info</w:t>
        </w:r>
        <w:r>
          <w:rPr>
            <w:rStyle w:val="612"/>
            <w:rFonts w:eastAsia="Times New Roman" w:cstheme="minorHAnsi"/>
            <w:sz w:val="24"/>
            <w:szCs w:val="24"/>
            <w:lang w:eastAsia="ru-RU"/>
          </w:rPr>
          <w:t xml:space="preserve">@</w:t>
        </w:r>
        <w:r>
          <w:rPr>
            <w:rStyle w:val="612"/>
            <w:rFonts w:eastAsia="Times New Roman" w:cstheme="minorHAnsi"/>
            <w:sz w:val="24"/>
            <w:szCs w:val="24"/>
            <w:lang w:val="en-US" w:eastAsia="ru-RU"/>
          </w:rPr>
          <w:t xml:space="preserve">neon</w:t>
        </w:r>
        <w:r>
          <w:rPr>
            <w:rStyle w:val="612"/>
            <w:rFonts w:eastAsia="Times New Roman" w:cstheme="minorHAnsi"/>
            <w:sz w:val="24"/>
            <w:szCs w:val="24"/>
            <w:lang w:eastAsia="ru-RU"/>
          </w:rPr>
          <w:t xml:space="preserve">-</w:t>
        </w:r>
        <w:r>
          <w:rPr>
            <w:rStyle w:val="612"/>
            <w:rFonts w:eastAsia="Times New Roman" w:cstheme="minorHAnsi"/>
            <w:sz w:val="24"/>
            <w:szCs w:val="24"/>
            <w:lang w:val="en-US" w:eastAsia="ru-RU"/>
          </w:rPr>
          <w:t xml:space="preserve">beard</w:t>
        </w:r>
        <w:r>
          <w:rPr>
            <w:rStyle w:val="612"/>
            <w:rFonts w:eastAsia="Times New Roman" w:cstheme="minorHAnsi"/>
            <w:sz w:val="24"/>
            <w:szCs w:val="24"/>
            <w:lang w:eastAsia="ru-RU"/>
          </w:rPr>
          <w:t xml:space="preserve">.</w:t>
        </w:r>
        <w:r>
          <w:rPr>
            <w:rStyle w:val="612"/>
            <w:rFonts w:eastAsia="Times New Roman" w:cstheme="minorHAnsi"/>
            <w:sz w:val="24"/>
            <w:szCs w:val="24"/>
            <w:lang w:val="en-US" w:eastAsia="ru-RU"/>
          </w:rPr>
          <w:t xml:space="preserve">ru</w:t>
        </w:r>
      </w:hyperlink>
      <w:r>
        <w:rPr>
          <w:rFonts w:ascii="Times New Roman" w:hAnsi="Times New Roman" w:eastAsia="Times New Roman" w:cs="Times New Roman"/>
          <w:color w:val="594646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и ответить на неё в течение 30 календарных дней.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7.3. Покупатель обязуется: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7.3.1. Ознакомиться с условиями продажи, доставки и оплат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ы товаров в Магазине, прежде чем согласиться с условиями настоящего Договора публичной оферты. Заключение Договора означает согласие с ценами на Товары, с политикой конфиденциальности, а также с прочими условиями, обозначенными Продавцом в данной Договоре.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7.3.2. Предоставить Продавцу все личные данные, включая адрес и телефон, необходимые для оформления заказа на сайте Интернет-магазина. Без соблюдения данного пункта невозможно полноценное исполнение Продавцом обязательств.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7.3.3. В отведенный срок предоставить реквизиты, оплатить счет за выбранные и укомплектованные в Заказ Товары.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7.3.4. Согласиться с правилами продажи в Интернет-магазине и не нарушать их ни при каких обстоятельствах.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7.3.5. Согласиться со сроками и условиями доставки, оплаты, установленными Продавцом и прописанными в данном Соглашении.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7.3.6. Использовать товар в личных целях и в целях дарения третьим лицам. Запрещено розничным покупателям перепродавать Товар большими партиями, используя его для извлечения выгоды.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7.3.7. Соглашаясь с условиями данного Договора, П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окупатель разрешает Продавцу обрабатывать полученную личную информацию, обеспечивая ее конфиденциальность. Личные данные, предоставленные Покупателем, разрешается использовать для сбора и обработки заказов, обслуживания Личного кабинета, улучшения сервиса.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7.3.8. Сообщать Продавцу об изменении важных личных данных, переданных для обработки. При смене местожительства, имен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и или фамилии следует направить письмо на фактический или электронный адрес. Право на обработку персональных данных является постоянным и бессрочным, отзывается только путем направления соответствующего письма на фактический или электронный адрес Продавца.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7.4. Покупатель имеет право: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7.4.1. Запросить при необходимости у Продавца переданные ему личные данные, потребовать сведения о месте и факте их обработки с пояснением целей.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7.4.2.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Потребовать изменение, исправления либо безвозвратного удаления персональных данных из базы Продавца. При этом Договор между Продавцом и Покупателем считается расторгнутым. Последующее заключение договора сопровождается заключением новой Публичной оферты.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36"/>
          <w:szCs w:val="36"/>
          <w:lang w:eastAsia="ru-RU"/>
        </w:rPr>
        <w:outlineLvl w:val="2"/>
      </w:pPr>
      <w:r>
        <w:rPr>
          <w:rFonts w:eastAsia="Times New Roman" w:cstheme="minorHAnsi"/>
          <w:color w:val="594646"/>
          <w:sz w:val="36"/>
          <w:szCs w:val="36"/>
          <w:lang w:eastAsia="ru-RU"/>
        </w:rPr>
        <w:t xml:space="preserve">8. Ответственности сторон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8.1. За любые нарушения, неисполнение настоящего договора Публичной оферты стороны (Продавец и Покупатель) несут равнозначную ответственность.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8.2. Все личные данные, переданные Покупателем Продавцу и Продавцом Покупателю, считаются конфиденциальной информацией. Тексты, графика и прочий контент, располагающийся по адресу </w:t>
      </w:r>
      <w:hyperlink r:id="rId13" w:tooltip="https://neon-beard.ru/" w:history="1">
        <w:r>
          <w:rPr>
            <w:rStyle w:val="612"/>
            <w:rFonts w:eastAsia="Times New Roman" w:cstheme="minorHAnsi"/>
            <w:sz w:val="24"/>
            <w:szCs w:val="24"/>
            <w:lang w:eastAsia="ru-RU"/>
          </w:rPr>
          <w:t xml:space="preserve">https://neon-beard.ru/</w:t>
        </w:r>
      </w:hyperlink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 защищен Законом РФ об авторских правах. Его использование Покупателем без пи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сьменного разрешение администрации сайте считается противозаконным и расценивается как правонарушение. Передача контента ресурса третьим лицам или использованием его Покупателем в личных целях преследуется по закону в соответствии с нормативными актами РФ.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36"/>
          <w:szCs w:val="36"/>
          <w:lang w:eastAsia="ru-RU"/>
        </w:rPr>
        <w:outlineLvl w:val="2"/>
      </w:pPr>
      <w:r>
        <w:rPr>
          <w:rFonts w:eastAsia="Times New Roman" w:cstheme="minorHAnsi"/>
          <w:color w:val="594646"/>
          <w:sz w:val="36"/>
          <w:szCs w:val="36"/>
          <w:lang w:eastAsia="ru-RU"/>
        </w:rPr>
        <w:t xml:space="preserve">9. Отзыв Публичной оферты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9.1 Продавец может отозвать оферту ил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и внести изменение в ее условия в одностороннем порядке. При этом все Договоры, заключенные с Покупателем на основании старой Публичной оферты, необходимо исполнить надлежащим образом. Продавец не имеет право изменить условия Публичной оферты или отозвать 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её, не исполнив обязательства перед Покупателем по заключенным ранее Договорам. Об изменениях, внесенных в Публичную оферту, Продавец обязуется уведомить Покупателя. На сайте Интернет-магазина Продавец должен разместить новость/уведомление об изменении усл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овий Публичной оферты, указав точное время (и пояс), с момента наступления которого вступают в силу новые условия Договора. Уведомление о вступлении в силу новых условий Договора должно быть размещено на официальном сайте Продавца не менее чем за 12 часов.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36"/>
          <w:szCs w:val="36"/>
          <w:lang w:eastAsia="ru-RU"/>
        </w:rPr>
        <w:outlineLvl w:val="2"/>
      </w:pPr>
      <w:r>
        <w:rPr>
          <w:rFonts w:eastAsia="Times New Roman" w:cstheme="minorHAnsi"/>
          <w:color w:val="594646"/>
          <w:sz w:val="36"/>
          <w:szCs w:val="36"/>
          <w:lang w:eastAsia="ru-RU"/>
        </w:rPr>
        <w:t xml:space="preserve">10. Возникновение обстоятельств непреодолимой силы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10.1. Стороны освобождаются от ответственности за частичное или полное не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исполнение своих обязательств по настоящему Договору, если это неисполнение явилось следствием действия обстоятельств непреодолимой силы (форс-мажора). К таким обстоятельствам, в частности относятся: наводнения, пожары, землетрясения или иные стихийные бед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ствия, а также войны, военные действия, террористические акты, акты и действия государственных органов, препятствующие исполнению Сторонами своих обязательств по настоящему Договору, и любые другие обстоятельства, находящиеся вне разумного контроля Сторон.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10.2. Стороны признают, что к обстоятельствам непреодолимой силы применительно к условиям настоящего Договора также относятся непосредственно влияющие на исполнение обязательств по Договору: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прерывание каналов связи и выход из строя серверной инфраструктуры на уровне магистральных каналов связи, центров обмена данными, вычислительных центров, а также линий связи регионального и местного значения;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сбои и затруднения в работе глобальной сети Интернет или отдельных ее сегментов, нарушения работы систем адресации (DNS) и т.д.;</w:t>
      </w:r>
      <w:r/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несанкционированные действия третьих лиц, имеющи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е в качестве цели нанесение любого вида ущерба любой из Сторон, осуществленные с помощью электронных программных и/или аппаратных средств или их комбинаций, а именно намеренные действия по нарушению или перегрузке каналов связи Сторон, работоспособности их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серверной инфраструктуры, несанкционированному доступу к управлению программными комплексами и доступу к конфиденциальной информации (взломы, DDOS атаки, распространение вредоносного программного кода, вывод из строя программно-аппаратных средств и т.д.).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10.3. При наступлении </w:t>
      </w:r>
      <w:bookmarkStart w:id="0" w:name="_GoBack"/>
      <w:r/>
      <w:bookmarkEnd w:id="0"/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форс-мажорных обстоятельств срок выполнения обязательств по настоящему Договору отодвигается на время действия таких обстоятельств и их последствий.</w:t>
      </w:r>
      <w:r/>
    </w:p>
    <w:p>
      <w:pPr>
        <w:spacing w:before="360" w:after="360" w:line="360" w:lineRule="atLeast"/>
        <w:rPr>
          <w:rFonts w:eastAsia="Times New Roman" w:cstheme="minorHAnsi"/>
          <w:color w:val="594646"/>
          <w:sz w:val="24"/>
          <w:szCs w:val="24"/>
          <w:lang w:eastAsia="ru-RU"/>
        </w:rPr>
      </w:pP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10.4. В случаях, когда обстоятельства непреодолимой с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илы продолжают действовать более 30 (тридцати) календарных дней или когда становится ясно, что их последствия будут действовать более этого срока, Стороны обязуются провести переговоры с целью выявления приемлемых для них альтернативных способов исполнения</w:t>
      </w:r>
      <w:r>
        <w:rPr>
          <w:rFonts w:eastAsia="Times New Roman" w:cstheme="minorHAnsi"/>
          <w:color w:val="594646"/>
          <w:sz w:val="24"/>
          <w:szCs w:val="24"/>
          <w:lang w:eastAsia="ru-RU"/>
        </w:rPr>
        <w:t xml:space="preserve"> настоящего Договора. При не достижении согласия в течение 30 (тридцати) календарных дней с даты начала переговоров или в случае несогласования даты их начала любая из Сторон имеет право в одностороннем порядке отказаться от исполнения настоящего Договора.</w:t>
      </w:r>
      <w:r/>
    </w:p>
    <w:p>
      <w:pPr>
        <w:rPr>
          <w:rFonts w:cstheme="minorHAnsi"/>
        </w:rPr>
      </w:pPr>
      <w:r>
        <w:rPr>
          <w:rFonts w:cstheme="minorHAnsi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6"/>
    <w:link w:val="60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6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06"/>
    <w:link w:val="605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6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6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6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6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6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6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</w:style>
  <w:style w:type="paragraph" w:styleId="604">
    <w:name w:val="Heading 1"/>
    <w:basedOn w:val="603"/>
    <w:link w:val="609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05">
    <w:name w:val="Heading 3"/>
    <w:basedOn w:val="603"/>
    <w:link w:val="61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character" w:styleId="609" w:customStyle="1">
    <w:name w:val="Заголовок 1 Знак"/>
    <w:basedOn w:val="606"/>
    <w:link w:val="604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0" w:customStyle="1">
    <w:name w:val="Заголовок 3 Знак"/>
    <w:basedOn w:val="606"/>
    <w:link w:val="605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611">
    <w:name w:val="Normal (Web)"/>
    <w:basedOn w:val="60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2">
    <w:name w:val="Hyperlink"/>
    <w:basedOn w:val="606"/>
    <w:uiPriority w:val="99"/>
    <w:unhideWhenUsed/>
    <w:rPr>
      <w:color w:val="0000ff"/>
      <w:u w:val="single"/>
    </w:rPr>
  </w:style>
  <w:style w:type="character" w:styleId="613">
    <w:name w:val="Unresolved Mention"/>
    <w:basedOn w:val="60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neon-beard.ru/" TargetMode="External"/><Relationship Id="rId10" Type="http://schemas.openxmlformats.org/officeDocument/2006/relationships/hyperlink" Target="https://neon-beard.ru/" TargetMode="External"/><Relationship Id="rId11" Type="http://schemas.openxmlformats.org/officeDocument/2006/relationships/hyperlink" Target="https://neon-beard.ru/" TargetMode="External"/><Relationship Id="rId12" Type="http://schemas.openxmlformats.org/officeDocument/2006/relationships/hyperlink" Target="mailto:info@neon-beard.ru" TargetMode="External"/><Relationship Id="rId13" Type="http://schemas.openxmlformats.org/officeDocument/2006/relationships/hyperlink" Target="https://neon-beard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Куртеев Дмитрий</cp:lastModifiedBy>
  <cp:revision>5</cp:revision>
  <dcterms:created xsi:type="dcterms:W3CDTF">2023-08-30T13:25:00Z</dcterms:created>
  <dcterms:modified xsi:type="dcterms:W3CDTF">2023-09-18T07:14:03Z</dcterms:modified>
</cp:coreProperties>
</file>